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4810D" w14:textId="77777777" w:rsidR="00131AF5" w:rsidRDefault="00131AF5" w:rsidP="0021064F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  <w:lang w:val="en-US"/>
        </w:rPr>
      </w:pPr>
    </w:p>
    <w:p w14:paraId="6D3279FB" w14:textId="43AC4F60" w:rsidR="00131AF5" w:rsidRPr="00FF32E8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Cs w:val="28"/>
        </w:rPr>
      </w:pPr>
      <w:r w:rsidRPr="00FF32E8">
        <w:rPr>
          <w:rFonts w:ascii="Baskerville" w:hAnsi="Baskerville"/>
          <w:color w:val="000000" w:themeColor="text1"/>
          <w:szCs w:val="28"/>
        </w:rPr>
        <w:t>A la recherche du fractionnement isotopique indépendant de la masse : le rôle des plasmas.</w:t>
      </w:r>
    </w:p>
    <w:p w14:paraId="446DF63C" w14:textId="77777777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</w:p>
    <w:p w14:paraId="447E90AA" w14:textId="77777777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  <w:r w:rsidRPr="00131AF5">
        <w:rPr>
          <w:rFonts w:ascii="Baskerville" w:hAnsi="Baskerville"/>
          <w:color w:val="000000" w:themeColor="text1"/>
          <w:sz w:val="22"/>
          <w:szCs w:val="28"/>
        </w:rPr>
        <w:t>François ROBERT, CNRS - Muséum National d'Histoire Naturelle - Sorbonne Université.</w:t>
      </w:r>
    </w:p>
    <w:p w14:paraId="4680949C" w14:textId="77777777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</w:p>
    <w:p w14:paraId="4DD2101E" w14:textId="150D0153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Les premiers doutes sur le caractère général de la théorie du fractionnement isotopique dépendant de la masse (MDF) sont apparus en 1983 avec la synthèse de </w:t>
      </w:r>
      <w:proofErr w:type="gramStart"/>
      <w:r w:rsidRPr="00131AF5">
        <w:rPr>
          <w:rFonts w:ascii="Baskerville" w:hAnsi="Baskerville"/>
          <w:color w:val="000000" w:themeColor="text1"/>
          <w:sz w:val="22"/>
          <w:szCs w:val="28"/>
        </w:rPr>
        <w:t>l'ozone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(</w:t>
      </w:r>
      <w:proofErr w:type="gramEnd"/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. Les isotopes de l'oxygène sont souvent utilisés pour illustrer l</w:t>
      </w:r>
      <w:r w:rsidR="000C0312">
        <w:rPr>
          <w:rFonts w:ascii="Baskerville" w:hAnsi="Baskerville"/>
          <w:color w:val="000000" w:themeColor="text1"/>
          <w:sz w:val="22"/>
          <w:szCs w:val="28"/>
        </w:rPr>
        <w:t>e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MDF : une variation relative de 1% du rapport isotopique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17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O/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16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 doit s'accompagner de 2% du</w:t>
      </w:r>
      <w:r>
        <w:rPr>
          <w:rFonts w:ascii="Baskerville" w:hAnsi="Baskerville"/>
          <w:color w:val="000000" w:themeColor="text1"/>
          <w:sz w:val="22"/>
          <w:szCs w:val="28"/>
        </w:rPr>
        <w:t xml:space="preserve"> rapport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18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O/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16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 car la différence de masse entre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</w:t>
      </w:r>
      <w:r>
        <w:rPr>
          <w:rFonts w:ascii="Baskerville" w:hAnsi="Baskerville"/>
          <w:color w:val="000000" w:themeColor="text1"/>
          <w:sz w:val="22"/>
          <w:szCs w:val="28"/>
          <w:vertAlign w:val="superscript"/>
        </w:rPr>
        <w:t>8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 et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</w:t>
      </w:r>
      <w:r>
        <w:rPr>
          <w:rFonts w:ascii="Baskerville" w:hAnsi="Baskerville"/>
          <w:color w:val="000000" w:themeColor="text1"/>
          <w:sz w:val="22"/>
          <w:szCs w:val="28"/>
          <w:vertAlign w:val="superscript"/>
        </w:rPr>
        <w:t>6</w:t>
      </w:r>
      <w:r>
        <w:rPr>
          <w:rFonts w:ascii="Baskerville" w:hAnsi="Baskerville"/>
          <w:color w:val="000000" w:themeColor="text1"/>
          <w:sz w:val="22"/>
          <w:szCs w:val="28"/>
        </w:rPr>
        <w:t xml:space="preserve">O est le double de celle entre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</w:t>
      </w:r>
      <w:r>
        <w:rPr>
          <w:rFonts w:ascii="Baskerville" w:hAnsi="Baskerville"/>
          <w:color w:val="000000" w:themeColor="text1"/>
          <w:sz w:val="22"/>
          <w:szCs w:val="28"/>
          <w:vertAlign w:val="superscript"/>
        </w:rPr>
        <w:t>7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 et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</w:t>
      </w:r>
      <w:r>
        <w:rPr>
          <w:rFonts w:ascii="Baskerville" w:hAnsi="Baskerville"/>
          <w:color w:val="000000" w:themeColor="text1"/>
          <w:sz w:val="22"/>
          <w:szCs w:val="28"/>
          <w:vertAlign w:val="superscript"/>
        </w:rPr>
        <w:t>6</w:t>
      </w:r>
      <w:r>
        <w:rPr>
          <w:rFonts w:ascii="Baskerville" w:hAnsi="Baskerville"/>
          <w:color w:val="000000" w:themeColor="text1"/>
          <w:sz w:val="22"/>
          <w:szCs w:val="28"/>
        </w:rPr>
        <w:t>O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. L'origine de la MDF est ancrée dans les principes les plus fondamentaux de la mécanique quantique Elle est omniprésente, observée pour les réactions d'échange isotopique et pour les réactions chimiques à 2 corps. Elle a été théorisée en 1947 par H. </w:t>
      </w:r>
      <w:proofErr w:type="gramStart"/>
      <w:r w:rsidRPr="00131AF5">
        <w:rPr>
          <w:rFonts w:ascii="Baskerville" w:hAnsi="Baskerville"/>
          <w:color w:val="000000" w:themeColor="text1"/>
          <w:sz w:val="22"/>
          <w:szCs w:val="28"/>
        </w:rPr>
        <w:t>Urey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(</w:t>
      </w:r>
      <w:proofErr w:type="gramEnd"/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2</w:t>
      </w:r>
      <w:r>
        <w:rPr>
          <w:rFonts w:ascii="Baskerville" w:hAnsi="Baskerville"/>
          <w:color w:val="000000" w:themeColor="text1"/>
          <w:sz w:val="22"/>
          <w:szCs w:val="28"/>
          <w:vertAlign w:val="superscript"/>
        </w:rPr>
        <w:t>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. </w:t>
      </w:r>
    </w:p>
    <w:p w14:paraId="0EC13AE0" w14:textId="1B6B9AFC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  <w:r>
        <w:rPr>
          <w:rFonts w:ascii="Baskerville" w:hAnsi="Baskerville"/>
          <w:color w:val="000000" w:themeColor="text1"/>
          <w:sz w:val="22"/>
          <w:szCs w:val="28"/>
        </w:rPr>
        <w:t>A l’inverse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, l'ozone résulte d'une réaction à 3 corps (O+O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bscript"/>
        </w:rPr>
        <w:t>2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+</w:t>
      </w:r>
      <w:r w:rsidRPr="00131AF5">
        <w:rPr>
          <w:color w:val="000000" w:themeColor="text1"/>
          <w:sz w:val="20"/>
          <w:szCs w:val="28"/>
        </w:rPr>
        <w:t>M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>
        <w:rPr>
          <w:rFonts w:ascii="Baskerville" w:hAnsi="Baskerville"/>
          <w:color w:val="000000" w:themeColor="text1"/>
          <w:sz w:val="22"/>
          <w:szCs w:val="28"/>
        </w:rPr>
        <w:sym w:font="Symbol" w:char="F0AE"/>
      </w:r>
      <w:r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bscript"/>
        </w:rPr>
        <w:t>3</w:t>
      </w:r>
      <w:r>
        <w:rPr>
          <w:rFonts w:ascii="Baskerville" w:hAnsi="Baskerville"/>
          <w:color w:val="000000" w:themeColor="text1"/>
          <w:sz w:val="22"/>
          <w:szCs w:val="28"/>
        </w:rPr>
        <w:t>+</w:t>
      </w:r>
      <w:r w:rsidRPr="00131AF5">
        <w:rPr>
          <w:color w:val="000000" w:themeColor="text1"/>
          <w:sz w:val="20"/>
          <w:szCs w:val="28"/>
        </w:rPr>
        <w:t xml:space="preserve"> M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où </w:t>
      </w:r>
      <w:r w:rsidRPr="00131AF5">
        <w:rPr>
          <w:color w:val="000000" w:themeColor="text1"/>
          <w:sz w:val="20"/>
          <w:szCs w:val="28"/>
        </w:rPr>
        <w:t>M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est le troisième corps stabilisant le complexe </w:t>
      </w:r>
      <w:r>
        <w:rPr>
          <w:rFonts w:ascii="Baskerville" w:hAnsi="Baskerville"/>
          <w:color w:val="000000" w:themeColor="text1"/>
          <w:sz w:val="22"/>
          <w:szCs w:val="28"/>
        </w:rPr>
        <w:t xml:space="preserve">intermédiaire 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bscript"/>
        </w:rPr>
        <w:t>3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*) et présente des variations relatives égales </w:t>
      </w:r>
      <w:r>
        <w:rPr>
          <w:rFonts w:ascii="Baskerville" w:hAnsi="Baskerville"/>
          <w:color w:val="000000" w:themeColor="text1"/>
          <w:sz w:val="22"/>
          <w:szCs w:val="28"/>
        </w:rPr>
        <w:t>pour les rapports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17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O/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16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 et 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18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O/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16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O (appelé </w:t>
      </w:r>
      <w:r w:rsidRPr="000C0312">
        <w:rPr>
          <w:rFonts w:ascii="Baskerville" w:hAnsi="Baskerville"/>
          <w:i/>
          <w:color w:val="000000" w:themeColor="text1"/>
          <w:sz w:val="22"/>
          <w:szCs w:val="28"/>
        </w:rPr>
        <w:t>effet MIF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). Ce résultat reproduit les variations observées dans les </w:t>
      </w:r>
      <w:proofErr w:type="gramStart"/>
      <w:r w:rsidRPr="00131AF5">
        <w:rPr>
          <w:rFonts w:ascii="Baskerville" w:hAnsi="Baskerville"/>
          <w:color w:val="000000" w:themeColor="text1"/>
          <w:sz w:val="22"/>
          <w:szCs w:val="28"/>
        </w:rPr>
        <w:t>météorites</w:t>
      </w:r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(</w:t>
      </w:r>
      <w:proofErr w:type="gramEnd"/>
      <w:r w:rsidRPr="00131AF5">
        <w:rPr>
          <w:rFonts w:ascii="Baskerville" w:hAnsi="Baskerville"/>
          <w:color w:val="000000" w:themeColor="text1"/>
          <w:sz w:val="22"/>
          <w:szCs w:val="28"/>
          <w:vertAlign w:val="superscript"/>
        </w:rPr>
        <w:t>3)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et plus généralement dans l'ensemble du système solaire. Tout comme l'origine physique de l'effet MIF est encore une question ouverte en mécanique quantique, son application possible à la formation du système solaire est difficile à juger.</w:t>
      </w:r>
    </w:p>
    <w:p w14:paraId="3E033408" w14:textId="3894E35C" w:rsidR="000C0312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Le séminaire </w:t>
      </w:r>
      <w:r>
        <w:rPr>
          <w:rFonts w:ascii="Baskerville" w:hAnsi="Baskerville"/>
          <w:color w:val="000000" w:themeColor="text1"/>
          <w:sz w:val="22"/>
          <w:szCs w:val="28"/>
        </w:rPr>
        <w:t>sera divisé en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3 parties : (1) théorique, (2) expérimentale et (3) analytique. Dans la partie </w:t>
      </w:r>
      <w:r>
        <w:rPr>
          <w:rFonts w:ascii="Baskerville" w:hAnsi="Baskerville"/>
          <w:color w:val="000000" w:themeColor="text1"/>
          <w:sz w:val="22"/>
          <w:szCs w:val="28"/>
        </w:rPr>
        <w:t>(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1</w:t>
      </w:r>
      <w:r>
        <w:rPr>
          <w:rFonts w:ascii="Baskerville" w:hAnsi="Baskerville"/>
          <w:color w:val="000000" w:themeColor="text1"/>
          <w:sz w:val="22"/>
          <w:szCs w:val="28"/>
        </w:rPr>
        <w:t>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, je montrerai que les résultats sur l'ozone peuvent être reproduits </w:t>
      </w:r>
      <w:r w:rsidR="00173188">
        <w:rPr>
          <w:rFonts w:ascii="Baskerville" w:hAnsi="Baskerville"/>
          <w:color w:val="000000" w:themeColor="text1"/>
          <w:sz w:val="22"/>
          <w:szCs w:val="28"/>
        </w:rPr>
        <w:t xml:space="preserve">numériquement 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si l'exigence fondamentale de la mécanique quantique selon laquelle, pour des isotopes </w:t>
      </w:r>
      <w:proofErr w:type="spellStart"/>
      <w:r w:rsidRPr="00173188">
        <w:rPr>
          <w:rFonts w:ascii="Baskerville" w:hAnsi="Baskerville"/>
          <w:i/>
          <w:color w:val="000000" w:themeColor="text1"/>
          <w:sz w:val="22"/>
          <w:szCs w:val="28"/>
        </w:rPr>
        <w:t>indis</w:t>
      </w:r>
      <w:r w:rsidR="00173188" w:rsidRPr="00173188">
        <w:rPr>
          <w:rFonts w:ascii="Baskerville" w:hAnsi="Baskerville"/>
          <w:i/>
          <w:color w:val="000000" w:themeColor="text1"/>
          <w:sz w:val="22"/>
          <w:szCs w:val="28"/>
        </w:rPr>
        <w:t>tinguables</w:t>
      </w:r>
      <w:proofErr w:type="spellEnd"/>
      <w:r w:rsidRPr="00131AF5">
        <w:rPr>
          <w:rFonts w:ascii="Baskerville" w:hAnsi="Baskerville"/>
          <w:color w:val="000000" w:themeColor="text1"/>
          <w:sz w:val="22"/>
          <w:szCs w:val="28"/>
        </w:rPr>
        <w:t>, les deux voies de réaction</w:t>
      </w:r>
      <w:r w:rsidR="006F5739">
        <w:rPr>
          <w:rFonts w:ascii="Baskerville" w:hAnsi="Baskerville"/>
          <w:color w:val="000000" w:themeColor="text1"/>
          <w:sz w:val="22"/>
          <w:szCs w:val="28"/>
        </w:rPr>
        <w:t>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possibles (diffusion élastique et échange de particules, c'est-à-dire échange isotopique et non-échange) sont </w:t>
      </w:r>
      <w:proofErr w:type="gramStart"/>
      <w:r w:rsidRPr="001B43D6">
        <w:rPr>
          <w:rFonts w:ascii="Baskerville" w:hAnsi="Baskerville"/>
          <w:i/>
          <w:color w:val="000000" w:themeColor="text1"/>
          <w:sz w:val="22"/>
          <w:szCs w:val="28"/>
        </w:rPr>
        <w:t>superposées</w:t>
      </w:r>
      <w:r w:rsidRPr="006F5739">
        <w:rPr>
          <w:rFonts w:ascii="Baskerville" w:hAnsi="Baskerville"/>
          <w:color w:val="000000" w:themeColor="text1"/>
          <w:sz w:val="22"/>
          <w:szCs w:val="28"/>
          <w:vertAlign w:val="superscript"/>
        </w:rPr>
        <w:t>(</w:t>
      </w:r>
      <w:proofErr w:type="gramEnd"/>
      <w:r w:rsidRPr="006F5739">
        <w:rPr>
          <w:rFonts w:ascii="Baskerville" w:hAnsi="Baskerville"/>
          <w:color w:val="000000" w:themeColor="text1"/>
          <w:sz w:val="22"/>
          <w:szCs w:val="28"/>
          <w:vertAlign w:val="superscript"/>
        </w:rPr>
        <w:t>4,</w:t>
      </w:r>
      <w:r w:rsidR="006F5739">
        <w:rPr>
          <w:rFonts w:ascii="Baskerville" w:hAnsi="Baskerville"/>
          <w:color w:val="000000" w:themeColor="text1"/>
          <w:sz w:val="22"/>
          <w:szCs w:val="28"/>
          <w:vertAlign w:val="superscript"/>
        </w:rPr>
        <w:t>5)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. Dans </w:t>
      </w:r>
      <w:bookmarkStart w:id="0" w:name="_GoBack"/>
      <w:bookmarkEnd w:id="0"/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la partie (2), j'expliquerai comment les équations qui régissent l'effet dans l'ozone nous </w:t>
      </w:r>
      <w:r w:rsidR="006F5739">
        <w:rPr>
          <w:rFonts w:ascii="Baskerville" w:hAnsi="Baskerville"/>
          <w:color w:val="000000" w:themeColor="text1"/>
          <w:sz w:val="22"/>
          <w:szCs w:val="28"/>
        </w:rPr>
        <w:t>ont conduit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à envisager des expériences de condensation dans le</w:t>
      </w:r>
      <w:r w:rsidR="006F5739">
        <w:rPr>
          <w:rFonts w:ascii="Baskerville" w:hAnsi="Baskerville"/>
          <w:color w:val="000000" w:themeColor="text1"/>
          <w:sz w:val="22"/>
          <w:szCs w:val="28"/>
        </w:rPr>
        <w:t>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plasma</w:t>
      </w:r>
      <w:r w:rsidR="006F5739">
        <w:rPr>
          <w:rFonts w:ascii="Baskerville" w:hAnsi="Baskerville"/>
          <w:color w:val="000000" w:themeColor="text1"/>
          <w:sz w:val="22"/>
          <w:szCs w:val="28"/>
        </w:rPr>
        <w:t>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. La partie (3) est consacrée aux résultat</w:t>
      </w:r>
      <w:r w:rsidR="001B43D6">
        <w:rPr>
          <w:rFonts w:ascii="Baskerville" w:hAnsi="Baskerville"/>
          <w:color w:val="000000" w:themeColor="text1"/>
          <w:sz w:val="22"/>
          <w:szCs w:val="28"/>
        </w:rPr>
        <w:t>s obtenus pour les isotopes du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Ti, Mg, O et N en utilisant des mélanges de TiCl</w:t>
      </w:r>
      <w:r w:rsidRPr="001B43D6">
        <w:rPr>
          <w:rFonts w:ascii="Baskerville" w:hAnsi="Baskerville"/>
          <w:color w:val="000000" w:themeColor="text1"/>
          <w:sz w:val="22"/>
          <w:szCs w:val="28"/>
          <w:vertAlign w:val="subscript"/>
        </w:rPr>
        <w:t>4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+Pentane, MgCl</w:t>
      </w:r>
      <w:r w:rsidRPr="001B43D6">
        <w:rPr>
          <w:rFonts w:ascii="Baskerville" w:hAnsi="Baskerville"/>
          <w:color w:val="000000" w:themeColor="text1"/>
          <w:sz w:val="22"/>
          <w:szCs w:val="28"/>
          <w:vertAlign w:val="subscript"/>
        </w:rPr>
        <w:t>3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+Pentanol et CO</w:t>
      </w:r>
      <w:r w:rsidRPr="001B43D6">
        <w:rPr>
          <w:rFonts w:ascii="Baskerville" w:hAnsi="Baskerville"/>
          <w:color w:val="000000" w:themeColor="text1"/>
          <w:sz w:val="22"/>
          <w:szCs w:val="28"/>
          <w:vertAlign w:val="subscript"/>
        </w:rPr>
        <w:t>2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ou N</w:t>
      </w:r>
      <w:r w:rsidRPr="001B43D6">
        <w:rPr>
          <w:rFonts w:ascii="Baskerville" w:hAnsi="Baskerville"/>
          <w:color w:val="000000" w:themeColor="text1"/>
          <w:sz w:val="22"/>
          <w:szCs w:val="28"/>
          <w:vertAlign w:val="subscript"/>
        </w:rPr>
        <w:t>2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O+</w:t>
      </w:r>
      <w:proofErr w:type="gramStart"/>
      <w:r w:rsidRPr="00131AF5">
        <w:rPr>
          <w:rFonts w:ascii="Baskerville" w:hAnsi="Baskerville"/>
          <w:color w:val="000000" w:themeColor="text1"/>
          <w:sz w:val="22"/>
          <w:szCs w:val="28"/>
        </w:rPr>
        <w:t>Pentane</w:t>
      </w:r>
      <w:r w:rsidRPr="001B43D6">
        <w:rPr>
          <w:rFonts w:ascii="Baskerville" w:hAnsi="Baskerville"/>
          <w:color w:val="000000" w:themeColor="text1"/>
          <w:sz w:val="22"/>
          <w:szCs w:val="28"/>
          <w:vertAlign w:val="superscript"/>
        </w:rPr>
        <w:t>(</w:t>
      </w:r>
      <w:proofErr w:type="gramEnd"/>
      <w:r w:rsidRPr="001B43D6">
        <w:rPr>
          <w:rFonts w:ascii="Baskerville" w:hAnsi="Baskerville"/>
          <w:color w:val="000000" w:themeColor="text1"/>
          <w:sz w:val="22"/>
          <w:szCs w:val="28"/>
          <w:vertAlign w:val="superscript"/>
        </w:rPr>
        <w:t>6,7)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. </w:t>
      </w:r>
      <w:r w:rsidR="00374E7D">
        <w:rPr>
          <w:rFonts w:ascii="Baskerville" w:hAnsi="Baskerville"/>
          <w:color w:val="000000" w:themeColor="text1"/>
          <w:sz w:val="22"/>
          <w:szCs w:val="28"/>
        </w:rPr>
        <w:t>La résolution spatiale exceptionn</w:t>
      </w:r>
      <w:r w:rsidR="000C0312">
        <w:rPr>
          <w:rFonts w:ascii="Baskerville" w:hAnsi="Baskerville"/>
          <w:color w:val="000000" w:themeColor="text1"/>
          <w:sz w:val="22"/>
          <w:szCs w:val="28"/>
        </w:rPr>
        <w:t xml:space="preserve">elle de la </w:t>
      </w:r>
      <w:proofErr w:type="spellStart"/>
      <w:r w:rsidR="000C0312">
        <w:rPr>
          <w:rFonts w:ascii="Baskerville" w:hAnsi="Baskerville"/>
          <w:color w:val="000000" w:themeColor="text1"/>
          <w:sz w:val="22"/>
          <w:szCs w:val="28"/>
        </w:rPr>
        <w:t>NanoSims</w:t>
      </w:r>
      <w:proofErr w:type="spellEnd"/>
      <w:r w:rsidR="000C0312">
        <w:rPr>
          <w:rFonts w:ascii="Baskerville" w:hAnsi="Baskerville"/>
          <w:color w:val="000000" w:themeColor="text1"/>
          <w:sz w:val="22"/>
          <w:szCs w:val="28"/>
        </w:rPr>
        <w:t xml:space="preserve"> a révélé </w:t>
      </w:r>
      <w:r w:rsidR="00FF32E8">
        <w:rPr>
          <w:rFonts w:ascii="Baskerville" w:hAnsi="Baskerville"/>
          <w:color w:val="000000" w:themeColor="text1"/>
          <w:sz w:val="22"/>
          <w:szCs w:val="28"/>
        </w:rPr>
        <w:t>d’importants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fractionnements isotopiques </w:t>
      </w:r>
      <w:r w:rsidR="00FF32E8">
        <w:rPr>
          <w:rFonts w:ascii="Baskerville" w:hAnsi="Baskerville"/>
          <w:color w:val="000000" w:themeColor="text1"/>
          <w:sz w:val="22"/>
          <w:szCs w:val="28"/>
        </w:rPr>
        <w:t xml:space="preserve">indépendant de la masse </w:t>
      </w:r>
      <w:r w:rsidR="000C0312">
        <w:rPr>
          <w:rFonts w:ascii="Baskerville" w:hAnsi="Baskerville"/>
          <w:color w:val="000000" w:themeColor="text1"/>
          <w:sz w:val="22"/>
          <w:szCs w:val="28"/>
        </w:rPr>
        <w:t xml:space="preserve">pour tous ces éléments </w:t>
      </w:r>
      <w:r w:rsidR="00FF32E8">
        <w:rPr>
          <w:rFonts w:ascii="Baskerville" w:hAnsi="Baskerville"/>
          <w:color w:val="000000" w:themeColor="text1"/>
          <w:sz w:val="22"/>
          <w:szCs w:val="28"/>
        </w:rPr>
        <w:t xml:space="preserve">(de l'ordre de 1000 à </w:t>
      </w:r>
      <w:r w:rsidR="001B43D6">
        <w:rPr>
          <w:rFonts w:ascii="Baskerville" w:hAnsi="Baskerville"/>
          <w:color w:val="000000" w:themeColor="text1"/>
          <w:sz w:val="22"/>
          <w:szCs w:val="28"/>
        </w:rPr>
        <w:t>10</w:t>
      </w:r>
      <w:r w:rsidR="00374E7D">
        <w:rPr>
          <w:rFonts w:ascii="Baskerville" w:hAnsi="Baskerville"/>
          <w:color w:val="000000" w:themeColor="text1"/>
          <w:sz w:val="22"/>
          <w:szCs w:val="28"/>
        </w:rPr>
        <w:t>,000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>‰) dans des particules carb</w:t>
      </w:r>
      <w:r w:rsidR="000C0312">
        <w:rPr>
          <w:rFonts w:ascii="Baskerville" w:hAnsi="Baskerville"/>
          <w:color w:val="000000" w:themeColor="text1"/>
          <w:sz w:val="22"/>
          <w:szCs w:val="28"/>
        </w:rPr>
        <w:t>onées de taille micrométrique.</w:t>
      </w:r>
    </w:p>
    <w:p w14:paraId="25FC4D09" w14:textId="74D756B6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</w:rPr>
      </w:pP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Ces résultats sont raisonnablement bien expliqués par le modèle construit pour l'ozone. </w:t>
      </w:r>
      <w:r w:rsidR="00FF32E8">
        <w:rPr>
          <w:rFonts w:ascii="Baskerville" w:hAnsi="Baskerville"/>
          <w:color w:val="000000" w:themeColor="text1"/>
          <w:sz w:val="22"/>
          <w:szCs w:val="28"/>
        </w:rPr>
        <w:t>Ils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impliquent que les effets MIF deviennent des candidats sérieux pour expliquer l'origine des solides dans le système solaire. Ils doivent néanmoins être documentés expérimentalement dans des conditions physiques et chimiques </w:t>
      </w:r>
      <w:r w:rsidR="001B43D6">
        <w:rPr>
          <w:rFonts w:ascii="Baskerville" w:hAnsi="Baskerville"/>
          <w:color w:val="000000" w:themeColor="text1"/>
          <w:sz w:val="22"/>
          <w:szCs w:val="28"/>
        </w:rPr>
        <w:t>proches de</w:t>
      </w:r>
      <w:r w:rsidRPr="00131AF5">
        <w:rPr>
          <w:rFonts w:ascii="Baskerville" w:hAnsi="Baskerville"/>
          <w:color w:val="000000" w:themeColor="text1"/>
          <w:sz w:val="22"/>
          <w:szCs w:val="28"/>
        </w:rPr>
        <w:t xml:space="preserve"> celles modélisées en </w:t>
      </w:r>
      <w:proofErr w:type="spellStart"/>
      <w:r w:rsidRPr="00131AF5">
        <w:rPr>
          <w:rFonts w:ascii="Baskerville" w:hAnsi="Baskerville"/>
          <w:color w:val="000000" w:themeColor="text1"/>
          <w:sz w:val="22"/>
          <w:szCs w:val="28"/>
        </w:rPr>
        <w:t>cosmochimie</w:t>
      </w:r>
      <w:proofErr w:type="spellEnd"/>
      <w:r w:rsidRPr="00131AF5">
        <w:rPr>
          <w:rFonts w:ascii="Baskerville" w:hAnsi="Baskerville"/>
          <w:color w:val="000000" w:themeColor="text1"/>
          <w:sz w:val="22"/>
          <w:szCs w:val="28"/>
        </w:rPr>
        <w:t>.</w:t>
      </w:r>
    </w:p>
    <w:p w14:paraId="5B242BCF" w14:textId="77777777" w:rsidR="00131AF5" w:rsidRPr="00131AF5" w:rsidRDefault="00131AF5" w:rsidP="00131AF5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  <w:lang w:val="en-US"/>
        </w:rPr>
      </w:pPr>
    </w:p>
    <w:p w14:paraId="0E72083A" w14:textId="77777777" w:rsidR="001B43D6" w:rsidRPr="0021064F" w:rsidRDefault="001B43D6" w:rsidP="001B43D6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18"/>
          <w:szCs w:val="20"/>
          <w:lang w:val="en-US"/>
        </w:rPr>
      </w:pP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(1) M.H.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Thiemens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J.E.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Heidenreich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III, </w:t>
      </w:r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>Science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219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(1983) 1073</w:t>
      </w:r>
      <w:r w:rsidRPr="0021064F">
        <w:rPr>
          <w:rFonts w:ascii="Baskerville" w:hAnsi="Baskerville" w:cs="STI Extra"/>
          <w:color w:val="000000" w:themeColor="text1"/>
          <w:sz w:val="18"/>
          <w:szCs w:val="20"/>
          <w:lang w:val="en-US"/>
        </w:rPr>
        <w:t>–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1075. (2) H.C. Urey, J. Am. Chem. Soc.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15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(1947) 562</w:t>
      </w:r>
      <w:r w:rsidRPr="0021064F">
        <w:rPr>
          <w:rFonts w:ascii="Baskerville" w:hAnsi="Baskerville" w:cs="STI Extra"/>
          <w:color w:val="000000" w:themeColor="text1"/>
          <w:sz w:val="18"/>
          <w:szCs w:val="20"/>
          <w:lang w:val="en-US"/>
        </w:rPr>
        <w:t>–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581 (3) R.N. Clayton, L. Grossman, T.K.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Mayeda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</w:t>
      </w:r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>Science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182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(1973) 485</w:t>
      </w:r>
      <w:r w:rsidRPr="0021064F">
        <w:rPr>
          <w:rFonts w:ascii="Baskerville" w:hAnsi="Baskerville" w:cs="STI Extra"/>
          <w:color w:val="000000" w:themeColor="text1"/>
          <w:sz w:val="18"/>
          <w:szCs w:val="20"/>
          <w:lang w:val="en-US"/>
        </w:rPr>
        <w:t>–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488. (4) P. Reinhardt, F. Robert, </w:t>
      </w:r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>Chem. Phys.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513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(2018) 287</w:t>
      </w:r>
      <w:r w:rsidRPr="0021064F">
        <w:rPr>
          <w:rFonts w:ascii="Baskerville" w:hAnsi="Baskerville" w:cs="STI Extra"/>
          <w:color w:val="000000" w:themeColor="text1"/>
          <w:sz w:val="18"/>
          <w:szCs w:val="20"/>
          <w:lang w:val="en-US"/>
        </w:rPr>
        <w:t>–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294. (5) F. Robert, P. Reinhardt.</w:t>
      </w:r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 xml:space="preserve"> Chem. Phys. Impact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4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(2022) 100073. (6) F. Robert, M.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Chaussidon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A. Gonzalez-Cano, S.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Mostefaoui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PNAS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118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(2021) 52. (7) F. Robert, R.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Tartese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G. Lombardi, P. Reinhardt, M.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Roskosz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B.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Doisneau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Z. Deng, M. </w:t>
      </w:r>
      <w:proofErr w:type="spellStart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Chaussidon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, </w:t>
      </w:r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 xml:space="preserve">Nat. </w:t>
      </w:r>
      <w:proofErr w:type="spellStart"/>
      <w:r w:rsidRPr="0021064F">
        <w:rPr>
          <w:rFonts w:ascii="Baskerville" w:hAnsi="Baskerville"/>
          <w:i/>
          <w:color w:val="000000" w:themeColor="text1"/>
          <w:sz w:val="18"/>
          <w:szCs w:val="20"/>
          <w:lang w:val="en-US"/>
        </w:rPr>
        <w:t>Astron</w:t>
      </w:r>
      <w:proofErr w:type="spellEnd"/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</w:t>
      </w:r>
      <w:r w:rsidRPr="0021064F">
        <w:rPr>
          <w:rFonts w:ascii="Baskerville" w:hAnsi="Baskerville"/>
          <w:b/>
          <w:color w:val="000000" w:themeColor="text1"/>
          <w:sz w:val="18"/>
          <w:szCs w:val="20"/>
          <w:lang w:val="en-US"/>
        </w:rPr>
        <w:t>4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 xml:space="preserve"> (2020) 762</w:t>
      </w:r>
      <w:r w:rsidRPr="0021064F">
        <w:rPr>
          <w:rFonts w:ascii="Baskerville" w:hAnsi="Baskerville" w:cs="STI Extra"/>
          <w:color w:val="000000" w:themeColor="text1"/>
          <w:sz w:val="18"/>
          <w:szCs w:val="20"/>
          <w:lang w:val="en-US"/>
        </w:rPr>
        <w:t>–</w:t>
      </w:r>
      <w:r w:rsidRPr="0021064F">
        <w:rPr>
          <w:rFonts w:ascii="Baskerville" w:hAnsi="Baskerville"/>
          <w:color w:val="000000" w:themeColor="text1"/>
          <w:sz w:val="18"/>
          <w:szCs w:val="20"/>
          <w:lang w:val="en-US"/>
        </w:rPr>
        <w:t>768.</w:t>
      </w:r>
    </w:p>
    <w:p w14:paraId="1F447621" w14:textId="77777777" w:rsidR="00B505C8" w:rsidRPr="003D7A2E" w:rsidRDefault="00B505C8" w:rsidP="0021064F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  <w:lang w:val="en-US"/>
        </w:rPr>
      </w:pPr>
    </w:p>
    <w:p w14:paraId="2074A063" w14:textId="77777777" w:rsidR="00B505C8" w:rsidRPr="003D7A2E" w:rsidRDefault="00B505C8" w:rsidP="0021064F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  <w:lang w:val="en-US"/>
        </w:rPr>
      </w:pPr>
    </w:p>
    <w:p w14:paraId="3539CBFC" w14:textId="77777777" w:rsidR="00B505C8" w:rsidRPr="003D7A2E" w:rsidRDefault="004F6CE3" w:rsidP="0021064F">
      <w:pPr>
        <w:spacing w:line="276" w:lineRule="auto"/>
        <w:ind w:left="284" w:right="-290" w:firstLine="142"/>
        <w:jc w:val="both"/>
        <w:rPr>
          <w:rFonts w:ascii="Baskerville" w:hAnsi="Baskerville"/>
          <w:color w:val="000000" w:themeColor="text1"/>
          <w:sz w:val="22"/>
          <w:szCs w:val="28"/>
          <w:lang w:val="en-US"/>
        </w:rPr>
      </w:pPr>
      <w:r w:rsidRPr="003D7A2E">
        <w:rPr>
          <w:rFonts w:ascii="Baskerville" w:hAnsi="Baskerville"/>
          <w:color w:val="000000" w:themeColor="text1"/>
          <w:sz w:val="22"/>
          <w:szCs w:val="28"/>
          <w:lang w:val="en-US"/>
        </w:rPr>
        <w:t xml:space="preserve"> </w:t>
      </w:r>
    </w:p>
    <w:sectPr w:rsidR="00B505C8" w:rsidRPr="003D7A2E" w:rsidSect="0072325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I Extra">
    <w:altName w:val="STI Ex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4"/>
    <w:rsid w:val="000042E7"/>
    <w:rsid w:val="00045F44"/>
    <w:rsid w:val="00067D0E"/>
    <w:rsid w:val="000C0312"/>
    <w:rsid w:val="000D6823"/>
    <w:rsid w:val="000E266D"/>
    <w:rsid w:val="000E7BDF"/>
    <w:rsid w:val="0011110B"/>
    <w:rsid w:val="00113737"/>
    <w:rsid w:val="00131AF5"/>
    <w:rsid w:val="00133BF5"/>
    <w:rsid w:val="00134DE7"/>
    <w:rsid w:val="00172E81"/>
    <w:rsid w:val="00173188"/>
    <w:rsid w:val="001A147D"/>
    <w:rsid w:val="001B43D6"/>
    <w:rsid w:val="001E2855"/>
    <w:rsid w:val="00204AC2"/>
    <w:rsid w:val="0021064F"/>
    <w:rsid w:val="0022001B"/>
    <w:rsid w:val="002274CC"/>
    <w:rsid w:val="00230993"/>
    <w:rsid w:val="00233A2C"/>
    <w:rsid w:val="003045C4"/>
    <w:rsid w:val="00304E76"/>
    <w:rsid w:val="003120AC"/>
    <w:rsid w:val="003453C8"/>
    <w:rsid w:val="003559B7"/>
    <w:rsid w:val="00364F9D"/>
    <w:rsid w:val="00373EBA"/>
    <w:rsid w:val="00374E7D"/>
    <w:rsid w:val="00380CFB"/>
    <w:rsid w:val="003C517B"/>
    <w:rsid w:val="003D7A2E"/>
    <w:rsid w:val="003E47C4"/>
    <w:rsid w:val="003F0E4A"/>
    <w:rsid w:val="00417440"/>
    <w:rsid w:val="0044335B"/>
    <w:rsid w:val="00472C6B"/>
    <w:rsid w:val="00475F9B"/>
    <w:rsid w:val="00491FC8"/>
    <w:rsid w:val="00492983"/>
    <w:rsid w:val="004963FB"/>
    <w:rsid w:val="004A4B72"/>
    <w:rsid w:val="004F6CE3"/>
    <w:rsid w:val="00584F2C"/>
    <w:rsid w:val="005B028B"/>
    <w:rsid w:val="005B6B16"/>
    <w:rsid w:val="005D0ED5"/>
    <w:rsid w:val="005E72A9"/>
    <w:rsid w:val="005F777C"/>
    <w:rsid w:val="00606480"/>
    <w:rsid w:val="006409C7"/>
    <w:rsid w:val="006538C2"/>
    <w:rsid w:val="00674FB1"/>
    <w:rsid w:val="0068255B"/>
    <w:rsid w:val="00682F27"/>
    <w:rsid w:val="00687095"/>
    <w:rsid w:val="006C1F95"/>
    <w:rsid w:val="006D45FA"/>
    <w:rsid w:val="006F5739"/>
    <w:rsid w:val="00723251"/>
    <w:rsid w:val="007B6DE5"/>
    <w:rsid w:val="007C7B3A"/>
    <w:rsid w:val="0080504C"/>
    <w:rsid w:val="00874B50"/>
    <w:rsid w:val="008A1BFA"/>
    <w:rsid w:val="00903EEB"/>
    <w:rsid w:val="00945F04"/>
    <w:rsid w:val="009A794C"/>
    <w:rsid w:val="009D023E"/>
    <w:rsid w:val="009D3544"/>
    <w:rsid w:val="00A569A4"/>
    <w:rsid w:val="00A6505F"/>
    <w:rsid w:val="00A94C30"/>
    <w:rsid w:val="00AE55E3"/>
    <w:rsid w:val="00AE5B7F"/>
    <w:rsid w:val="00B02C8B"/>
    <w:rsid w:val="00B06724"/>
    <w:rsid w:val="00B505C8"/>
    <w:rsid w:val="00B75B2B"/>
    <w:rsid w:val="00B81769"/>
    <w:rsid w:val="00B826E9"/>
    <w:rsid w:val="00B92915"/>
    <w:rsid w:val="00BA27F1"/>
    <w:rsid w:val="00C36222"/>
    <w:rsid w:val="00C5248E"/>
    <w:rsid w:val="00D32C42"/>
    <w:rsid w:val="00D430BA"/>
    <w:rsid w:val="00D46CA2"/>
    <w:rsid w:val="00D541A4"/>
    <w:rsid w:val="00DA68D7"/>
    <w:rsid w:val="00DC0CB8"/>
    <w:rsid w:val="00DE769F"/>
    <w:rsid w:val="00E033D2"/>
    <w:rsid w:val="00E038C1"/>
    <w:rsid w:val="00E05138"/>
    <w:rsid w:val="00E107B0"/>
    <w:rsid w:val="00E12842"/>
    <w:rsid w:val="00E16524"/>
    <w:rsid w:val="00E60CDC"/>
    <w:rsid w:val="00E718E6"/>
    <w:rsid w:val="00E821D4"/>
    <w:rsid w:val="00EF47F2"/>
    <w:rsid w:val="00EF6C06"/>
    <w:rsid w:val="00F028B9"/>
    <w:rsid w:val="00F457A5"/>
    <w:rsid w:val="00F551AF"/>
    <w:rsid w:val="00F61AE8"/>
    <w:rsid w:val="00F72531"/>
    <w:rsid w:val="00F975A4"/>
    <w:rsid w:val="00FD6E6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36B7C"/>
  <w15:chartTrackingRefBased/>
  <w15:docId w15:val="{67C7184B-A188-6B47-962F-B17277D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107B0"/>
    <w:pPr>
      <w:ind w:left="1418" w:hanging="851"/>
      <w:jc w:val="both"/>
    </w:pPr>
    <w:rPr>
      <w:rFonts w:ascii="Times New Roman" w:eastAsia="SimSun" w:hAnsi="Times New Roman" w:cs="Times New Roman"/>
      <w:b/>
      <w:bCs/>
      <w:i/>
      <w:iCs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107B0"/>
    <w:rPr>
      <w:rFonts w:ascii="Times New Roman" w:eastAsia="SimSun" w:hAnsi="Times New Roman" w:cs="Times New Roman"/>
      <w:b/>
      <w:bCs/>
      <w:i/>
      <w:iCs/>
      <w:lang w:eastAsia="fr-FR"/>
    </w:rPr>
  </w:style>
  <w:style w:type="paragraph" w:customStyle="1" w:styleId="Default">
    <w:name w:val="Default"/>
    <w:rsid w:val="003559B7"/>
    <w:pPr>
      <w:autoSpaceDE w:val="0"/>
      <w:autoSpaceDN w:val="0"/>
      <w:adjustRightInd w:val="0"/>
    </w:pPr>
    <w:rPr>
      <w:rFonts w:ascii="Charis SIL" w:hAnsi="Charis SIL" w:cs="Charis SI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2838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francois.robert@mnhn.fr</cp:lastModifiedBy>
  <cp:revision>6</cp:revision>
  <cp:lastPrinted>2022-09-12T15:34:00Z</cp:lastPrinted>
  <dcterms:created xsi:type="dcterms:W3CDTF">2022-09-22T10:23:00Z</dcterms:created>
  <dcterms:modified xsi:type="dcterms:W3CDTF">2023-11-09T12:09:00Z</dcterms:modified>
</cp:coreProperties>
</file>